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69" w:rsidRPr="00335A83" w:rsidRDefault="00E56469">
      <w:pPr>
        <w:rPr>
          <w:rFonts w:ascii="Times New Roman" w:hAnsi="Times New Roman"/>
          <w:sz w:val="20"/>
        </w:rPr>
      </w:pPr>
    </w:p>
    <w:p w:rsidR="00E56469" w:rsidRPr="00335A83" w:rsidRDefault="00E56469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 w:rsidRPr="00335A83">
        <w:rPr>
          <w:rFonts w:ascii="Times New Roman" w:hAnsi="Times New Roman"/>
          <w:sz w:val="20"/>
          <w:lang w:val="nl-NL"/>
        </w:rPr>
        <w:t>“</w:t>
      </w:r>
      <w:r w:rsidR="00DE2713">
        <w:rPr>
          <w:rFonts w:ascii="Times New Roman" w:hAnsi="Times New Roman"/>
          <w:b/>
          <w:bCs/>
          <w:sz w:val="20"/>
          <w:lang w:val="nl-NL"/>
        </w:rPr>
        <w:t xml:space="preserve">DIERICKX LEYS </w:t>
      </w:r>
      <w:r w:rsidR="00E9436E">
        <w:rPr>
          <w:rFonts w:ascii="Times New Roman" w:hAnsi="Times New Roman"/>
          <w:b/>
          <w:bCs/>
          <w:sz w:val="20"/>
          <w:lang w:val="nl-NL"/>
        </w:rPr>
        <w:t>FUND II</w:t>
      </w:r>
      <w:r w:rsidRPr="00335A83">
        <w:rPr>
          <w:rFonts w:ascii="Times New Roman" w:hAnsi="Times New Roman"/>
          <w:sz w:val="20"/>
          <w:lang w:val="nl-NL"/>
        </w:rPr>
        <w:t>”</w:t>
      </w:r>
    </w:p>
    <w:p w:rsidR="00E56469" w:rsidRDefault="001D2758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 w:rsidRPr="00335A83">
        <w:rPr>
          <w:rFonts w:ascii="Times New Roman" w:hAnsi="Times New Roman"/>
          <w:sz w:val="20"/>
          <w:lang w:val="nl-NL"/>
        </w:rPr>
        <w:t>Beleggingsvennootschap</w:t>
      </w:r>
      <w:r w:rsidR="00E56469" w:rsidRPr="00335A83">
        <w:rPr>
          <w:rFonts w:ascii="Times New Roman" w:hAnsi="Times New Roman"/>
          <w:sz w:val="20"/>
          <w:lang w:val="nl-NL"/>
        </w:rPr>
        <w:t xml:space="preserve"> met veranderlijk kapitaal</w:t>
      </w:r>
    </w:p>
    <w:p w:rsidR="005C19E4" w:rsidRDefault="00A76402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>
        <w:rPr>
          <w:rFonts w:ascii="Times New Roman" w:hAnsi="Times New Roman"/>
          <w:sz w:val="20"/>
          <w:lang w:val="nl-NL"/>
        </w:rPr>
        <w:t>Instelling voor collectieve belegging die voldoet aan de voorwaarden van richtlijn 2009/65/EG</w:t>
      </w:r>
      <w:r w:rsidR="001D2758">
        <w:rPr>
          <w:rFonts w:ascii="Times New Roman" w:hAnsi="Times New Roman"/>
          <w:sz w:val="20"/>
          <w:lang w:val="nl-NL"/>
        </w:rPr>
        <w:t xml:space="preserve">, </w:t>
      </w:r>
    </w:p>
    <w:p w:rsidR="00E56469" w:rsidRPr="00335A83" w:rsidRDefault="00E56469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 w:rsidRPr="00335A83">
        <w:rPr>
          <w:rFonts w:ascii="Times New Roman" w:hAnsi="Times New Roman"/>
          <w:sz w:val="20"/>
          <w:lang w:val="nl-NL"/>
        </w:rPr>
        <w:t>naamloze vennootschap</w:t>
      </w:r>
    </w:p>
    <w:p w:rsidR="00E56469" w:rsidRPr="00450220" w:rsidRDefault="00E56469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 w:rsidRPr="00450220">
        <w:rPr>
          <w:rFonts w:ascii="Times New Roman" w:hAnsi="Times New Roman"/>
          <w:sz w:val="20"/>
          <w:lang w:val="nl-NL"/>
        </w:rPr>
        <w:t xml:space="preserve">te </w:t>
      </w:r>
      <w:r w:rsidR="00720F19">
        <w:rPr>
          <w:rFonts w:ascii="Times New Roman" w:hAnsi="Times New Roman"/>
          <w:sz w:val="20"/>
          <w:lang w:val="nl-NL"/>
        </w:rPr>
        <w:t>20</w:t>
      </w:r>
      <w:r w:rsidR="00DE2713">
        <w:rPr>
          <w:rFonts w:ascii="Times New Roman" w:hAnsi="Times New Roman"/>
          <w:sz w:val="20"/>
          <w:lang w:val="nl-NL"/>
        </w:rPr>
        <w:t>0</w:t>
      </w:r>
      <w:r w:rsidR="00450220" w:rsidRPr="00450220">
        <w:rPr>
          <w:rFonts w:ascii="Times New Roman" w:hAnsi="Times New Roman"/>
          <w:sz w:val="20"/>
          <w:lang w:val="nl-NL"/>
        </w:rPr>
        <w:t>0</w:t>
      </w:r>
      <w:r w:rsidRPr="00450220">
        <w:rPr>
          <w:rFonts w:ascii="Times New Roman" w:hAnsi="Times New Roman"/>
          <w:sz w:val="20"/>
          <w:lang w:val="nl-NL"/>
        </w:rPr>
        <w:t xml:space="preserve"> </w:t>
      </w:r>
      <w:r w:rsidR="00720F19">
        <w:rPr>
          <w:rFonts w:ascii="Times New Roman" w:hAnsi="Times New Roman"/>
          <w:sz w:val="20"/>
          <w:lang w:val="nl-NL"/>
        </w:rPr>
        <w:t>Antwerpen</w:t>
      </w:r>
      <w:r w:rsidRPr="00450220">
        <w:rPr>
          <w:rFonts w:ascii="Times New Roman" w:hAnsi="Times New Roman"/>
          <w:sz w:val="20"/>
          <w:lang w:val="nl-NL"/>
        </w:rPr>
        <w:t xml:space="preserve">, </w:t>
      </w:r>
      <w:r w:rsidR="00DE2713">
        <w:rPr>
          <w:rFonts w:ascii="Times New Roman" w:hAnsi="Times New Roman"/>
          <w:sz w:val="20"/>
          <w:lang w:val="nl-NL"/>
        </w:rPr>
        <w:t xml:space="preserve">Kasteelpleinstraat </w:t>
      </w:r>
      <w:r w:rsidR="00E9436E">
        <w:rPr>
          <w:rFonts w:ascii="Times New Roman" w:hAnsi="Times New Roman"/>
          <w:sz w:val="20"/>
          <w:lang w:val="nl-NL"/>
        </w:rPr>
        <w:t>4</w:t>
      </w:r>
      <w:r w:rsidR="00720F19">
        <w:rPr>
          <w:rFonts w:ascii="Times New Roman" w:hAnsi="Times New Roman"/>
          <w:sz w:val="20"/>
          <w:lang w:val="nl-NL"/>
        </w:rPr>
        <w:t>4</w:t>
      </w:r>
    </w:p>
    <w:p w:rsidR="00E56469" w:rsidRPr="00E06F81" w:rsidRDefault="00E56469" w:rsidP="005C19E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</w:pBdr>
        <w:ind w:left="426" w:right="566"/>
        <w:jc w:val="center"/>
        <w:rPr>
          <w:rFonts w:ascii="Times New Roman" w:hAnsi="Times New Roman"/>
          <w:sz w:val="20"/>
          <w:lang w:val="nl-NL"/>
        </w:rPr>
      </w:pPr>
      <w:r w:rsidRPr="00E06F81">
        <w:rPr>
          <w:rFonts w:ascii="Times New Roman" w:hAnsi="Times New Roman"/>
          <w:sz w:val="20"/>
          <w:lang w:val="nl-NL"/>
        </w:rPr>
        <w:t>B.T.W. (BE) 0</w:t>
      </w:r>
      <w:r w:rsidR="00E9436E">
        <w:rPr>
          <w:rFonts w:ascii="Times New Roman" w:hAnsi="Times New Roman"/>
          <w:sz w:val="20"/>
          <w:lang w:val="nl-NL"/>
        </w:rPr>
        <w:t>893</w:t>
      </w:r>
      <w:r w:rsidRPr="00E06F81">
        <w:rPr>
          <w:rFonts w:ascii="Times New Roman" w:hAnsi="Times New Roman"/>
          <w:sz w:val="20"/>
          <w:lang w:val="nl-NL"/>
        </w:rPr>
        <w:t>.</w:t>
      </w:r>
      <w:r w:rsidR="00E9436E">
        <w:rPr>
          <w:rFonts w:ascii="Times New Roman" w:hAnsi="Times New Roman"/>
          <w:sz w:val="20"/>
          <w:lang w:val="nl-NL"/>
        </w:rPr>
        <w:t>204</w:t>
      </w:r>
      <w:r w:rsidRPr="00E06F81">
        <w:rPr>
          <w:rFonts w:ascii="Times New Roman" w:hAnsi="Times New Roman"/>
          <w:sz w:val="20"/>
          <w:lang w:val="nl-NL"/>
        </w:rPr>
        <w:t>.</w:t>
      </w:r>
      <w:r w:rsidR="00E9436E">
        <w:rPr>
          <w:rFonts w:ascii="Times New Roman" w:hAnsi="Times New Roman"/>
          <w:sz w:val="20"/>
          <w:lang w:val="nl-NL"/>
        </w:rPr>
        <w:t>3</w:t>
      </w:r>
      <w:r w:rsidR="00DE2713">
        <w:rPr>
          <w:rFonts w:ascii="Times New Roman" w:hAnsi="Times New Roman"/>
          <w:sz w:val="20"/>
          <w:lang w:val="nl-NL"/>
        </w:rPr>
        <w:t>0</w:t>
      </w:r>
      <w:r w:rsidR="00E9436E">
        <w:rPr>
          <w:rFonts w:ascii="Times New Roman" w:hAnsi="Times New Roman"/>
          <w:sz w:val="20"/>
          <w:lang w:val="nl-NL"/>
        </w:rPr>
        <w:t>8</w:t>
      </w:r>
    </w:p>
    <w:p w:rsidR="0011712E" w:rsidRPr="00E06F81" w:rsidRDefault="0011712E" w:rsidP="005C19E4">
      <w:pPr>
        <w:pStyle w:val="Kop3"/>
        <w:tabs>
          <w:tab w:val="clear" w:pos="0"/>
          <w:tab w:val="clear" w:pos="566"/>
          <w:tab w:val="clear" w:pos="1132"/>
          <w:tab w:val="clear" w:pos="1700"/>
          <w:tab w:val="clear" w:pos="2266"/>
          <w:tab w:val="clear" w:pos="2834"/>
          <w:tab w:val="clear" w:pos="3400"/>
          <w:tab w:val="clear" w:pos="3968"/>
          <w:tab w:val="clear" w:pos="4534"/>
          <w:tab w:val="clear" w:pos="5101"/>
          <w:tab w:val="clear" w:pos="5668"/>
          <w:tab w:val="clear" w:pos="6235"/>
          <w:tab w:val="clear" w:pos="6802"/>
          <w:tab w:val="clear" w:pos="7369"/>
          <w:tab w:val="clear" w:pos="7936"/>
          <w:tab w:val="clear" w:pos="8503"/>
        </w:tabs>
        <w:ind w:left="426" w:right="-1"/>
        <w:rPr>
          <w:rFonts w:ascii="Times New Roman" w:hAnsi="Times New Roman"/>
          <w:sz w:val="20"/>
          <w:lang w:val="nl-NL"/>
        </w:rPr>
      </w:pPr>
    </w:p>
    <w:p w:rsidR="005C19E4" w:rsidRPr="005C19E4" w:rsidRDefault="005C19E4" w:rsidP="00A33267">
      <w:pPr>
        <w:pStyle w:val="Plattetekst3"/>
        <w:ind w:right="-284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BERICHT AAN DE AANDEELHOUDERS</w:t>
      </w:r>
    </w:p>
    <w:p w:rsidR="005C19E4" w:rsidRDefault="005C19E4" w:rsidP="00A33267">
      <w:pPr>
        <w:ind w:right="-284"/>
        <w:rPr>
          <w:rFonts w:ascii="Times New Roman" w:hAnsi="Times New Roman"/>
          <w:noProof/>
          <w:sz w:val="20"/>
        </w:rPr>
      </w:pPr>
    </w:p>
    <w:p w:rsidR="00FC28A3" w:rsidRDefault="005C19E4" w:rsidP="00A33267">
      <w:pPr>
        <w:ind w:right="-284"/>
        <w:rPr>
          <w:rFonts w:ascii="Times New Roman" w:hAnsi="Times New Roman"/>
          <w:noProof/>
          <w:sz w:val="20"/>
        </w:rPr>
      </w:pPr>
      <w:r w:rsidRPr="005C19E4">
        <w:rPr>
          <w:rFonts w:ascii="Times New Roman" w:hAnsi="Times New Roman"/>
          <w:noProof/>
          <w:sz w:val="20"/>
        </w:rPr>
        <w:t xml:space="preserve">De raad van bestuur van de bevek </w:t>
      </w:r>
      <w:r w:rsidR="00DE2713">
        <w:rPr>
          <w:rFonts w:ascii="Times New Roman" w:hAnsi="Times New Roman"/>
          <w:noProof/>
          <w:sz w:val="20"/>
        </w:rPr>
        <w:t xml:space="preserve">DIERICKX LEYS </w:t>
      </w:r>
      <w:r w:rsidR="00E9436E">
        <w:rPr>
          <w:rFonts w:ascii="Times New Roman" w:hAnsi="Times New Roman"/>
          <w:noProof/>
          <w:sz w:val="20"/>
        </w:rPr>
        <w:t>FUND II</w:t>
      </w:r>
      <w:r>
        <w:rPr>
          <w:rFonts w:ascii="Times New Roman" w:hAnsi="Times New Roman"/>
          <w:noProof/>
          <w:sz w:val="20"/>
        </w:rPr>
        <w:t xml:space="preserve"> </w:t>
      </w:r>
      <w:r w:rsidRPr="005C19E4">
        <w:rPr>
          <w:rFonts w:ascii="Times New Roman" w:hAnsi="Times New Roman"/>
          <w:noProof/>
          <w:sz w:val="20"/>
        </w:rPr>
        <w:t>informeert de aandeelhouders</w:t>
      </w:r>
      <w:r w:rsidR="00A33267">
        <w:rPr>
          <w:rFonts w:ascii="Times New Roman" w:hAnsi="Times New Roman"/>
          <w:noProof/>
          <w:sz w:val="20"/>
        </w:rPr>
        <w:t xml:space="preserve"> dat de Raad van Bestuur heden besliste</w:t>
      </w:r>
      <w:r w:rsidRPr="005C19E4">
        <w:rPr>
          <w:rFonts w:ascii="Times New Roman" w:hAnsi="Times New Roman"/>
          <w:noProof/>
          <w:sz w:val="20"/>
        </w:rPr>
        <w:t xml:space="preserve"> </w:t>
      </w:r>
      <w:r w:rsidR="00374B44">
        <w:rPr>
          <w:rFonts w:ascii="Times New Roman" w:hAnsi="Times New Roman"/>
          <w:noProof/>
          <w:sz w:val="20"/>
        </w:rPr>
        <w:t>dat</w:t>
      </w:r>
      <w:r w:rsidRPr="005C19E4">
        <w:rPr>
          <w:rFonts w:ascii="Times New Roman" w:hAnsi="Times New Roman"/>
          <w:noProof/>
          <w:sz w:val="20"/>
        </w:rPr>
        <w:t xml:space="preserve"> </w:t>
      </w:r>
      <w:r w:rsidR="00A33267">
        <w:rPr>
          <w:rFonts w:ascii="Times New Roman" w:hAnsi="Times New Roman"/>
          <w:noProof/>
          <w:sz w:val="20"/>
        </w:rPr>
        <w:t>de stemrechten verbonden aan de deelnemingen op de volgende wijze worden uitgeoefend:</w:t>
      </w:r>
    </w:p>
    <w:p w:rsidR="00A33267" w:rsidRPr="005C19E4" w:rsidRDefault="00A33267" w:rsidP="00A33267">
      <w:pPr>
        <w:ind w:right="-284"/>
        <w:rPr>
          <w:rFonts w:ascii="Times New Roman" w:hAnsi="Times New Roman"/>
          <w:noProof/>
          <w:sz w:val="20"/>
        </w:rPr>
      </w:pPr>
    </w:p>
    <w:p w:rsid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Engagement &amp; Voting Policy</w:t>
      </w: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ALGEMEEN</w:t>
      </w:r>
    </w:p>
    <w:p w:rsid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Bij Dierickx Leys Private Bank hanteren we een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lange termijn beleggingsvisie die de focus legt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op kwaliteitsvolle bedrijven aan een redelijke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prijs. Duurzaamheid vormt een belangrijk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onderdeel van onze kwaliteitsdefinitie, wat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tevens blijkt uit het solide ESG-beleid van onze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bank. Om de kwaliteit en dus ook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duurzaamheid van de bedrijven waarin we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investeren te beschermen of zelfs te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verbeteren streven we, in de mate van het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mogelijke, ook een actief aandeelhouderschap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na in lijn met onze beleggingsstrategie. Als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fiduciair vermogens-beheerder trachten we zo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de aandeelhoudersrechten, die in feite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onrechtstreeks toebehoren aan ons cliënteel,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optimaal in te schakelen indien we van mening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zijn dat hierdoor een toegevoegde waarde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gecreëerd kan worden. Doorgaans, maar niet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uitsluitend, zal het betrekking hebben op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resoluties aangaande fusies- en overnames,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desinvesteringen, herstructureringen 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benoemingen.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DOEL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Het uiteindelijke doel van het beleid is om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ervoor te zorgen dat we via engagement en een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weloverwogen uitoefening van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aandeelhoudersrechten mee het bedrijfsbeleid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kunnen vormen van de bedrijven waarvan we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aandelen met stemrecht in portefeuille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hebben, om zodoende de waarde van deze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financiële activa te optimaliseren voor ons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cliënteel. Bijkomend worden er mogelijks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nieuwe inzichten verworven tijdens de due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diligence omtrent te nemen beslissingen op de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Algemene Vergadering. Het integreren van die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inzichten in de analyse van het desbetreffende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bedrijf tilt het beleggings-beslissingsproces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verder naar een hoger niveau.</w:t>
      </w:r>
    </w:p>
    <w:p w:rsid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SCOPE</w:t>
      </w:r>
    </w:p>
    <w:p w:rsid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Het beleid is van toepassing op alle bedrijven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waarvan aandelen met stemrecht worden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aangehouden binnen de beleggingsfondsen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onder beheer door onze bank. Merk op dat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bedrijven waarin een aandelenparticipatie nog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in overweging is dus niet onder dit beleid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vallen. Onze bank zal zich met andere woorden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onthouden van engagement ten opzichte van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bedrijven waarvan het geen activa in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portefeuille heeft.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PROPORTIONALITEITSPRINCIPE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Vanuit praktisch oogpunt wordt er een</w:t>
      </w:r>
      <w:r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proportionaliteitsprincipe toegepast om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erover te waken dat de benodigde middelen</w:t>
      </w:r>
    </w:p>
    <w:p w:rsid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voor actief aandeelhouderschap de hieruit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voortvloeiende waarde niet overstijgen. Het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eindresultaat van deze inspanning moet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immers een toegevoegde waarde betekenen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voor ons cliënteel. Vandaar dat we enkel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stemrechten uitoefenen van bedrijven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waarvan we overheen alle compartimenten in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beheer meer dan 3% van het aandelenkapitaal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bezitten. Afwijkingen van deze regel zijn echter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steeds mogelijk indien de (morele)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gewichtigheid van de te behandelen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problematiek dit naar onze mening noodzaakt.</w:t>
      </w:r>
    </w:p>
    <w:p w:rsidR="006C787C" w:rsidRPr="00A33267" w:rsidRDefault="006C787C" w:rsidP="00A33267">
      <w:pPr>
        <w:ind w:right="-284"/>
        <w:rPr>
          <w:rFonts w:ascii="Times New Roman" w:hAnsi="Times New Roman"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UITVOERING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Het beleid zal in eerste instantie uitgevoerd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worden door de respectievelijke beheerder van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het compartiment. Indien de betreffende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problematiek zich echter bevindt in het domein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van ESG (i.e. milieu, maatschappij &amp; deugdelijk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bestuur) zal de ESG-manager een advies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opmaken en voorleggen aan de beheerder,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alvorens deze een beslissing maakt. Beiden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kunnen steunen op diverse externe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informatieverstrekkers zoals o.a. Bloomberg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Terminal, Sustainalytics en Morningstar om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zich voldoende te informeren omtrent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relevante materies. De beheerder kan zich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tevens beroepen op de analist die het bedrijf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opvolgt om zijn beslissing te onderbouwen.</w:t>
      </w:r>
    </w:p>
    <w:p w:rsidR="006C787C" w:rsidRDefault="006C787C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MONITORING</w:t>
      </w:r>
    </w:p>
    <w:p w:rsidR="006C787C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Er wordt een lijst bijgehouden die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aandelenposities overheen de verschillende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compartimenten aggregeert en afzet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tegenover de marktkapitalisatie van elk bedrijf.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Op deze manier hebben we steeds zicht op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aandelenparticipaties die de door onze bank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gehanteerde minimumgrens van 3% behalen.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Bijkomend zorgt de ESG-manager voor een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monitoring van de ESG-gerelateerde risico’s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waaraan de activa in onze fondsen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blootgesteld zijn. Indien via deze controles een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belangrijke stemming aan het licht komt zal dit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eveneens gecommuniceerd worden ten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aanzien van de beheerder.</w:t>
      </w:r>
      <w:r w:rsidR="006C787C">
        <w:rPr>
          <w:rFonts w:ascii="Times New Roman" w:hAnsi="Times New Roman"/>
          <w:noProof/>
          <w:sz w:val="20"/>
        </w:rPr>
        <w:t xml:space="preserve"> </w:t>
      </w:r>
    </w:p>
    <w:p w:rsidR="006C787C" w:rsidRDefault="006C787C" w:rsidP="00A33267">
      <w:pPr>
        <w:ind w:right="-284"/>
        <w:rPr>
          <w:rFonts w:ascii="Times New Roman" w:hAnsi="Times New Roman"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BELANGENCONFLICTEN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Zodra de beheerder kennisneemt van een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stemming waaraan hij dient te participeren, zal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hij zich onthouden van privématige transacties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in het desbetreffende of aanverwante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aande(e)l(en), noch zal hij anderen aanzetten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dit te doen, en dit tot en met de datum van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Algemene Vergadering. Indien de beheerder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zich beroept op de ESG-manager en/of een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analist voor het onderbouwen van zijn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standpunt zullen deze zich eveneens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committeren tot deze regel. Alle betrokken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partijen zullen zich ook binden tot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geheimhouding hieromtrent, zowel binnen als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buiten de bank.</w:t>
      </w:r>
    </w:p>
    <w:p w:rsidR="006C787C" w:rsidRDefault="006C787C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</w:p>
    <w:p w:rsidR="00A33267" w:rsidRPr="00A33267" w:rsidRDefault="00A33267" w:rsidP="00A33267">
      <w:pPr>
        <w:ind w:right="-284"/>
        <w:rPr>
          <w:rFonts w:ascii="Times New Roman" w:hAnsi="Times New Roman"/>
          <w:b/>
          <w:bCs/>
          <w:noProof/>
          <w:sz w:val="20"/>
        </w:rPr>
      </w:pPr>
      <w:r w:rsidRPr="00A33267">
        <w:rPr>
          <w:rFonts w:ascii="Times New Roman" w:hAnsi="Times New Roman"/>
          <w:b/>
          <w:bCs/>
          <w:noProof/>
          <w:sz w:val="20"/>
        </w:rPr>
        <w:t>RAPPORTERING</w:t>
      </w:r>
    </w:p>
    <w:p w:rsidR="00A33267" w:rsidRP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Voor elk kalenderjaar waarin stemmen via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mandaat werden uitgebracht zal een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>rapportering opgemaakt worden die vrij</w:t>
      </w:r>
    </w:p>
    <w:p w:rsidR="005025A6" w:rsidRDefault="00A33267" w:rsidP="006C787C">
      <w:pPr>
        <w:ind w:right="-284"/>
        <w:rPr>
          <w:rFonts w:ascii="Times New Roman" w:hAnsi="Times New Roman"/>
          <w:noProof/>
          <w:sz w:val="20"/>
        </w:rPr>
      </w:pPr>
      <w:r w:rsidRPr="00A33267">
        <w:rPr>
          <w:rFonts w:ascii="Times New Roman" w:hAnsi="Times New Roman"/>
          <w:noProof/>
          <w:sz w:val="20"/>
        </w:rPr>
        <w:t>toegankelijk raadpleegbaar zal zijn via de</w:t>
      </w:r>
      <w:r w:rsidR="006C787C">
        <w:rPr>
          <w:rFonts w:ascii="Times New Roman" w:hAnsi="Times New Roman"/>
          <w:noProof/>
          <w:sz w:val="20"/>
        </w:rPr>
        <w:t xml:space="preserve"> </w:t>
      </w:r>
      <w:r w:rsidRPr="00A33267">
        <w:rPr>
          <w:rFonts w:ascii="Times New Roman" w:hAnsi="Times New Roman"/>
          <w:noProof/>
          <w:sz w:val="20"/>
        </w:rPr>
        <w:t xml:space="preserve">publieke bedrijfswebsite </w:t>
      </w:r>
      <w:hyperlink r:id="rId8" w:history="1">
        <w:r w:rsidR="006C787C" w:rsidRPr="00325CEB">
          <w:rPr>
            <w:rStyle w:val="Hyperlink"/>
            <w:rFonts w:ascii="Times New Roman" w:hAnsi="Times New Roman"/>
            <w:noProof/>
            <w:sz w:val="20"/>
          </w:rPr>
          <w:t>www.dierickxleys.be</w:t>
        </w:r>
      </w:hyperlink>
      <w:r w:rsidRPr="00A33267">
        <w:rPr>
          <w:rFonts w:ascii="Times New Roman" w:hAnsi="Times New Roman"/>
          <w:noProof/>
          <w:sz w:val="20"/>
        </w:rPr>
        <w:t>.</w:t>
      </w:r>
    </w:p>
    <w:p w:rsidR="006C787C" w:rsidRPr="005C19E4" w:rsidRDefault="006C787C" w:rsidP="006C787C">
      <w:pPr>
        <w:ind w:right="-284"/>
        <w:rPr>
          <w:rFonts w:ascii="Times New Roman" w:hAnsi="Times New Roman"/>
          <w:noProof/>
          <w:szCs w:val="24"/>
        </w:rPr>
      </w:pPr>
    </w:p>
    <w:p w:rsid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Deze </w:t>
      </w:r>
      <w:r w:rsidR="00D84F84">
        <w:rPr>
          <w:rFonts w:ascii="Times New Roman" w:hAnsi="Times New Roman"/>
          <w:noProof/>
          <w:sz w:val="20"/>
        </w:rPr>
        <w:t>Engagement &amp; Voting P</w:t>
      </w:r>
      <w:bookmarkStart w:id="0" w:name="_GoBack"/>
      <w:bookmarkEnd w:id="0"/>
      <w:r>
        <w:rPr>
          <w:rFonts w:ascii="Times New Roman" w:hAnsi="Times New Roman"/>
          <w:noProof/>
          <w:sz w:val="20"/>
        </w:rPr>
        <w:t>olicy treedt onmiddellijk in werking.</w:t>
      </w:r>
    </w:p>
    <w:p w:rsidR="00A33267" w:rsidRDefault="00A33267" w:rsidP="00A33267">
      <w:pPr>
        <w:ind w:right="-284"/>
        <w:rPr>
          <w:rFonts w:ascii="Times New Roman" w:hAnsi="Times New Roman"/>
          <w:noProof/>
          <w:sz w:val="20"/>
        </w:rPr>
      </w:pPr>
    </w:p>
    <w:p w:rsidR="00DE2713" w:rsidRPr="00DE2713" w:rsidRDefault="00DE2713" w:rsidP="00A33267">
      <w:pPr>
        <w:ind w:right="-284"/>
        <w:rPr>
          <w:rFonts w:ascii="Times New Roman" w:hAnsi="Times New Roman"/>
          <w:noProof/>
          <w:sz w:val="20"/>
        </w:rPr>
      </w:pPr>
      <w:r w:rsidRPr="00DE2713">
        <w:rPr>
          <w:rFonts w:ascii="Times New Roman" w:hAnsi="Times New Roman"/>
          <w:noProof/>
          <w:sz w:val="20"/>
        </w:rPr>
        <w:t xml:space="preserve">Dit bericht wordt gepubliceerd op de website </w:t>
      </w:r>
      <w:hyperlink r:id="rId9" w:history="1">
        <w:r w:rsidRPr="00DE2713">
          <w:rPr>
            <w:rStyle w:val="Hyperlink"/>
            <w:rFonts w:ascii="Times New Roman" w:hAnsi="Times New Roman"/>
            <w:noProof/>
            <w:sz w:val="20"/>
          </w:rPr>
          <w:t>www.dierickxleys.be</w:t>
        </w:r>
      </w:hyperlink>
      <w:r w:rsidR="00A33267">
        <w:rPr>
          <w:rFonts w:ascii="Times New Roman" w:hAnsi="Times New Roman"/>
          <w:noProof/>
          <w:sz w:val="20"/>
        </w:rPr>
        <w:t>.</w:t>
      </w:r>
    </w:p>
    <w:p w:rsidR="00A33267" w:rsidRDefault="00A33267" w:rsidP="00A33267">
      <w:pPr>
        <w:ind w:right="-284"/>
        <w:rPr>
          <w:rFonts w:ascii="Times New Roman" w:hAnsi="Times New Roman"/>
          <w:sz w:val="20"/>
        </w:rPr>
      </w:pPr>
    </w:p>
    <w:p w:rsidR="00A33267" w:rsidRDefault="00DE2713" w:rsidP="00A33267">
      <w:pPr>
        <w:ind w:right="-284"/>
        <w:rPr>
          <w:rFonts w:ascii="Times New Roman" w:hAnsi="Times New Roman"/>
          <w:sz w:val="20"/>
        </w:rPr>
      </w:pPr>
      <w:r w:rsidRPr="00DE2713">
        <w:rPr>
          <w:rFonts w:ascii="Times New Roman" w:hAnsi="Times New Roman"/>
          <w:sz w:val="20"/>
        </w:rPr>
        <w:t xml:space="preserve">Het prospectus, de Essentiële Beleggersinformatie en de periodieke verslagen zijn gratis beschikbaar bij de financiële dienst: </w:t>
      </w:r>
    </w:p>
    <w:p w:rsidR="00A33267" w:rsidRDefault="00A33267" w:rsidP="00A33267">
      <w:pPr>
        <w:ind w:right="-284"/>
        <w:rPr>
          <w:rFonts w:ascii="Times New Roman" w:hAnsi="Times New Roman"/>
          <w:sz w:val="20"/>
        </w:rPr>
      </w:pPr>
    </w:p>
    <w:p w:rsidR="00A33267" w:rsidRDefault="00DE2713" w:rsidP="00A33267">
      <w:pPr>
        <w:ind w:right="-284"/>
        <w:rPr>
          <w:rFonts w:ascii="Times New Roman" w:hAnsi="Times New Roman"/>
          <w:sz w:val="20"/>
        </w:rPr>
      </w:pPr>
      <w:r w:rsidRPr="00DE2713">
        <w:rPr>
          <w:rFonts w:ascii="Times New Roman" w:hAnsi="Times New Roman"/>
          <w:sz w:val="20"/>
        </w:rPr>
        <w:t xml:space="preserve">Dierickx, Leys Private Bank N.V., </w:t>
      </w:r>
    </w:p>
    <w:p w:rsidR="00A33267" w:rsidRDefault="00DE2713" w:rsidP="00A33267">
      <w:pPr>
        <w:ind w:right="-284"/>
        <w:rPr>
          <w:rFonts w:ascii="Times New Roman" w:hAnsi="Times New Roman"/>
          <w:sz w:val="20"/>
        </w:rPr>
      </w:pPr>
      <w:r w:rsidRPr="00DE2713">
        <w:rPr>
          <w:rFonts w:ascii="Times New Roman" w:hAnsi="Times New Roman"/>
          <w:sz w:val="20"/>
        </w:rPr>
        <w:t xml:space="preserve">Kasteelpleinstraat 44, </w:t>
      </w:r>
    </w:p>
    <w:p w:rsidR="00DE2713" w:rsidRDefault="00DE2713" w:rsidP="00A33267">
      <w:pPr>
        <w:ind w:right="-284"/>
        <w:rPr>
          <w:rFonts w:ascii="Times New Roman" w:hAnsi="Times New Roman"/>
          <w:sz w:val="20"/>
        </w:rPr>
      </w:pPr>
      <w:r w:rsidRPr="00DE2713">
        <w:rPr>
          <w:rFonts w:ascii="Times New Roman" w:hAnsi="Times New Roman"/>
          <w:sz w:val="20"/>
        </w:rPr>
        <w:t>2000</w:t>
      </w:r>
      <w:r w:rsidR="004731FA">
        <w:rPr>
          <w:rFonts w:ascii="Times New Roman" w:hAnsi="Times New Roman"/>
          <w:sz w:val="20"/>
        </w:rPr>
        <w:t xml:space="preserve"> Antwerpen</w:t>
      </w:r>
    </w:p>
    <w:p w:rsidR="00A33267" w:rsidRDefault="00A33267" w:rsidP="00A33267">
      <w:pPr>
        <w:ind w:right="-284"/>
        <w:rPr>
          <w:rFonts w:ascii="Times New Roman" w:hAnsi="Times New Roman"/>
          <w:sz w:val="20"/>
          <w:lang w:val="nl-NL"/>
        </w:rPr>
      </w:pPr>
    </w:p>
    <w:p w:rsidR="00117838" w:rsidRDefault="005025A6" w:rsidP="00A33267">
      <w:pPr>
        <w:ind w:right="-284"/>
        <w:rPr>
          <w:rFonts w:ascii="Times New Roman" w:hAnsi="Times New Roman"/>
          <w:sz w:val="20"/>
          <w:lang w:val="nl-NL"/>
        </w:rPr>
      </w:pPr>
      <w:r>
        <w:rPr>
          <w:rFonts w:ascii="Times New Roman" w:hAnsi="Times New Roman"/>
          <w:sz w:val="20"/>
          <w:lang w:val="nl-NL"/>
        </w:rPr>
        <w:t>De raad van bestuur</w:t>
      </w:r>
      <w:r w:rsidR="004C1ADC">
        <w:rPr>
          <w:rFonts w:ascii="Times New Roman" w:hAnsi="Times New Roman"/>
          <w:sz w:val="20"/>
          <w:lang w:val="nl-NL"/>
        </w:rPr>
        <w:t xml:space="preserve">, </w:t>
      </w:r>
      <w:r w:rsidR="00A33267">
        <w:rPr>
          <w:rFonts w:ascii="Times New Roman" w:hAnsi="Times New Roman"/>
          <w:sz w:val="20"/>
          <w:lang w:val="nl-NL"/>
        </w:rPr>
        <w:t>10 december</w:t>
      </w:r>
      <w:r w:rsidR="004C1ADC">
        <w:rPr>
          <w:rFonts w:ascii="Times New Roman" w:hAnsi="Times New Roman"/>
          <w:sz w:val="20"/>
          <w:lang w:val="nl-NL"/>
        </w:rPr>
        <w:t xml:space="preserve"> 2020</w:t>
      </w:r>
      <w:r>
        <w:rPr>
          <w:rFonts w:ascii="Times New Roman" w:hAnsi="Times New Roman"/>
          <w:sz w:val="20"/>
          <w:lang w:val="nl-NL"/>
        </w:rPr>
        <w:t>.</w:t>
      </w:r>
    </w:p>
    <w:sectPr w:rsidR="00117838" w:rsidSect="005C1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5" w:h="16837" w:code="9"/>
      <w:pgMar w:top="851" w:right="1557" w:bottom="993" w:left="851" w:header="0" w:footer="57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AF" w:rsidRDefault="00874EAF">
      <w:pPr>
        <w:pStyle w:val="Plattetekst"/>
      </w:pPr>
      <w:r>
        <w:separator/>
      </w:r>
    </w:p>
  </w:endnote>
  <w:endnote w:type="continuationSeparator" w:id="0">
    <w:p w:rsidR="00874EAF" w:rsidRDefault="00874EAF">
      <w:pPr>
        <w:pStyle w:val="Platte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2" w:rsidRDefault="007C5342" w:rsidP="00DD63F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C5342" w:rsidRDefault="007C53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2" w:rsidRDefault="007C5342" w:rsidP="00156E5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4F8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C5342" w:rsidRDefault="007C5342" w:rsidP="00F234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A5" w:rsidRDefault="00FA0F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AF" w:rsidRDefault="00874EAF">
      <w:pPr>
        <w:pStyle w:val="Plattetekst"/>
      </w:pPr>
      <w:r>
        <w:separator/>
      </w:r>
    </w:p>
  </w:footnote>
  <w:footnote w:type="continuationSeparator" w:id="0">
    <w:p w:rsidR="00874EAF" w:rsidRDefault="00874EAF">
      <w:pPr>
        <w:pStyle w:val="Platte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A5" w:rsidRDefault="00FA0F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A5" w:rsidRDefault="00FA0F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A5" w:rsidRDefault="00FA0F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5CB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B534B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34462F"/>
    <w:multiLevelType w:val="singleLevel"/>
    <w:tmpl w:val="602C04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1B054F52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48552B"/>
    <w:multiLevelType w:val="hybridMultilevel"/>
    <w:tmpl w:val="DC2C0B58"/>
    <w:lvl w:ilvl="0" w:tplc="F1D64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C42657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5875CD"/>
    <w:multiLevelType w:val="hybridMultilevel"/>
    <w:tmpl w:val="9064BE06"/>
    <w:lvl w:ilvl="0" w:tplc="A6FEE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472E6"/>
    <w:multiLevelType w:val="singleLevel"/>
    <w:tmpl w:val="7854A85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9D0C98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8B1DFD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482F24"/>
    <w:multiLevelType w:val="hybridMultilevel"/>
    <w:tmpl w:val="CC2418EA"/>
    <w:lvl w:ilvl="0" w:tplc="851E2E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9C5A8E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205CAF"/>
    <w:multiLevelType w:val="singleLevel"/>
    <w:tmpl w:val="F5E0520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73720DC"/>
    <w:multiLevelType w:val="hybridMultilevel"/>
    <w:tmpl w:val="E5AECA60"/>
    <w:lvl w:ilvl="0" w:tplc="2E7EF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6426"/>
    <w:multiLevelType w:val="singleLevel"/>
    <w:tmpl w:val="ED66F04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3F5592"/>
    <w:multiLevelType w:val="hybridMultilevel"/>
    <w:tmpl w:val="DC2C0B58"/>
    <w:lvl w:ilvl="0" w:tplc="F1D64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580DA5"/>
    <w:multiLevelType w:val="hybridMultilevel"/>
    <w:tmpl w:val="DC2C0B58"/>
    <w:lvl w:ilvl="0" w:tplc="F1D642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0C03B4"/>
    <w:multiLevelType w:val="hybridMultilevel"/>
    <w:tmpl w:val="68424E08"/>
    <w:lvl w:ilvl="0" w:tplc="851E2E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4"/>
  </w:num>
  <w:num w:numId="15">
    <w:abstractNumId w:val="10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18"/>
    <w:rsid w:val="00021649"/>
    <w:rsid w:val="00024C24"/>
    <w:rsid w:val="00025E3C"/>
    <w:rsid w:val="00062CF7"/>
    <w:rsid w:val="000652E8"/>
    <w:rsid w:val="00074213"/>
    <w:rsid w:val="00081BF3"/>
    <w:rsid w:val="00082478"/>
    <w:rsid w:val="00093B78"/>
    <w:rsid w:val="00093E56"/>
    <w:rsid w:val="000A4841"/>
    <w:rsid w:val="000A57F2"/>
    <w:rsid w:val="000C415A"/>
    <w:rsid w:val="000C505F"/>
    <w:rsid w:val="000C61CE"/>
    <w:rsid w:val="000C6296"/>
    <w:rsid w:val="00114BCB"/>
    <w:rsid w:val="0011712E"/>
    <w:rsid w:val="00117838"/>
    <w:rsid w:val="00127681"/>
    <w:rsid w:val="0013755A"/>
    <w:rsid w:val="00156E5A"/>
    <w:rsid w:val="0015710C"/>
    <w:rsid w:val="001661D9"/>
    <w:rsid w:val="001675AE"/>
    <w:rsid w:val="00173FE4"/>
    <w:rsid w:val="00183620"/>
    <w:rsid w:val="001A5A32"/>
    <w:rsid w:val="001A74DD"/>
    <w:rsid w:val="001B7E91"/>
    <w:rsid w:val="001C1737"/>
    <w:rsid w:val="001C187C"/>
    <w:rsid w:val="001D2758"/>
    <w:rsid w:val="001D5744"/>
    <w:rsid w:val="001E422E"/>
    <w:rsid w:val="001F1416"/>
    <w:rsid w:val="002020BA"/>
    <w:rsid w:val="00204E15"/>
    <w:rsid w:val="002121F9"/>
    <w:rsid w:val="002214CE"/>
    <w:rsid w:val="00230A3E"/>
    <w:rsid w:val="00236032"/>
    <w:rsid w:val="00257B7A"/>
    <w:rsid w:val="002609A6"/>
    <w:rsid w:val="00260B9E"/>
    <w:rsid w:val="002632F0"/>
    <w:rsid w:val="0027627C"/>
    <w:rsid w:val="00280EA3"/>
    <w:rsid w:val="002B11F4"/>
    <w:rsid w:val="002B7404"/>
    <w:rsid w:val="002D1E98"/>
    <w:rsid w:val="002E2E3F"/>
    <w:rsid w:val="002E3F1B"/>
    <w:rsid w:val="002F01C7"/>
    <w:rsid w:val="002F2E25"/>
    <w:rsid w:val="002F7B6D"/>
    <w:rsid w:val="002F7F3F"/>
    <w:rsid w:val="00321355"/>
    <w:rsid w:val="00321905"/>
    <w:rsid w:val="00323C1A"/>
    <w:rsid w:val="0032535E"/>
    <w:rsid w:val="00335A83"/>
    <w:rsid w:val="0033783C"/>
    <w:rsid w:val="00340118"/>
    <w:rsid w:val="003416B4"/>
    <w:rsid w:val="0035258E"/>
    <w:rsid w:val="00365093"/>
    <w:rsid w:val="00374B44"/>
    <w:rsid w:val="003776AA"/>
    <w:rsid w:val="003863EA"/>
    <w:rsid w:val="00386F40"/>
    <w:rsid w:val="00391168"/>
    <w:rsid w:val="00393E90"/>
    <w:rsid w:val="003A048F"/>
    <w:rsid w:val="003B7D7B"/>
    <w:rsid w:val="003C3A0D"/>
    <w:rsid w:val="003D6430"/>
    <w:rsid w:val="003E1FC3"/>
    <w:rsid w:val="003F7E4B"/>
    <w:rsid w:val="004103F7"/>
    <w:rsid w:val="00450220"/>
    <w:rsid w:val="00455E8C"/>
    <w:rsid w:val="004731FA"/>
    <w:rsid w:val="00481896"/>
    <w:rsid w:val="00481F6E"/>
    <w:rsid w:val="00487B52"/>
    <w:rsid w:val="004B15E7"/>
    <w:rsid w:val="004B444B"/>
    <w:rsid w:val="004B6222"/>
    <w:rsid w:val="004C1ADC"/>
    <w:rsid w:val="004D1736"/>
    <w:rsid w:val="004F51A2"/>
    <w:rsid w:val="005025A6"/>
    <w:rsid w:val="005107F5"/>
    <w:rsid w:val="00527D85"/>
    <w:rsid w:val="00543F15"/>
    <w:rsid w:val="00552229"/>
    <w:rsid w:val="00552AE2"/>
    <w:rsid w:val="00561FCB"/>
    <w:rsid w:val="00567300"/>
    <w:rsid w:val="005760B9"/>
    <w:rsid w:val="00580BB4"/>
    <w:rsid w:val="005857E4"/>
    <w:rsid w:val="005914E6"/>
    <w:rsid w:val="005937F2"/>
    <w:rsid w:val="005B4291"/>
    <w:rsid w:val="005C08BB"/>
    <w:rsid w:val="005C19E4"/>
    <w:rsid w:val="005C6E1E"/>
    <w:rsid w:val="005D23F7"/>
    <w:rsid w:val="005E2048"/>
    <w:rsid w:val="005F477F"/>
    <w:rsid w:val="005F65DD"/>
    <w:rsid w:val="0060080D"/>
    <w:rsid w:val="00616ACB"/>
    <w:rsid w:val="006323BE"/>
    <w:rsid w:val="00636921"/>
    <w:rsid w:val="00646CB3"/>
    <w:rsid w:val="006641D6"/>
    <w:rsid w:val="00685868"/>
    <w:rsid w:val="00691CF2"/>
    <w:rsid w:val="006964C2"/>
    <w:rsid w:val="006A2ED5"/>
    <w:rsid w:val="006C40A1"/>
    <w:rsid w:val="006C787C"/>
    <w:rsid w:val="0070093D"/>
    <w:rsid w:val="00701E27"/>
    <w:rsid w:val="00702DCC"/>
    <w:rsid w:val="007120D1"/>
    <w:rsid w:val="007172D3"/>
    <w:rsid w:val="00720F19"/>
    <w:rsid w:val="007223D6"/>
    <w:rsid w:val="007229BF"/>
    <w:rsid w:val="00723DC6"/>
    <w:rsid w:val="00735C66"/>
    <w:rsid w:val="007504F8"/>
    <w:rsid w:val="00760F99"/>
    <w:rsid w:val="00764BC5"/>
    <w:rsid w:val="0076580C"/>
    <w:rsid w:val="00767D4A"/>
    <w:rsid w:val="00776CE1"/>
    <w:rsid w:val="0078771A"/>
    <w:rsid w:val="007C5342"/>
    <w:rsid w:val="00817168"/>
    <w:rsid w:val="008206B5"/>
    <w:rsid w:val="0082544B"/>
    <w:rsid w:val="00840B46"/>
    <w:rsid w:val="008429A0"/>
    <w:rsid w:val="00843916"/>
    <w:rsid w:val="0084539F"/>
    <w:rsid w:val="00874EAF"/>
    <w:rsid w:val="008823F6"/>
    <w:rsid w:val="008912C8"/>
    <w:rsid w:val="008A0A59"/>
    <w:rsid w:val="008B208B"/>
    <w:rsid w:val="008B65D1"/>
    <w:rsid w:val="008D662E"/>
    <w:rsid w:val="008D675C"/>
    <w:rsid w:val="008E0DE2"/>
    <w:rsid w:val="008F0161"/>
    <w:rsid w:val="008F5EAA"/>
    <w:rsid w:val="00905EAF"/>
    <w:rsid w:val="00906E01"/>
    <w:rsid w:val="00906EA8"/>
    <w:rsid w:val="00931399"/>
    <w:rsid w:val="00936FB8"/>
    <w:rsid w:val="00940306"/>
    <w:rsid w:val="00942D24"/>
    <w:rsid w:val="009649BD"/>
    <w:rsid w:val="00970F70"/>
    <w:rsid w:val="00972AC7"/>
    <w:rsid w:val="00974FF3"/>
    <w:rsid w:val="00977505"/>
    <w:rsid w:val="00993B18"/>
    <w:rsid w:val="009C5156"/>
    <w:rsid w:val="009C58AC"/>
    <w:rsid w:val="009E065D"/>
    <w:rsid w:val="009E4F6C"/>
    <w:rsid w:val="00A10744"/>
    <w:rsid w:val="00A23518"/>
    <w:rsid w:val="00A32165"/>
    <w:rsid w:val="00A32E79"/>
    <w:rsid w:val="00A33267"/>
    <w:rsid w:val="00A43B7A"/>
    <w:rsid w:val="00A5063E"/>
    <w:rsid w:val="00A57BF7"/>
    <w:rsid w:val="00A64E51"/>
    <w:rsid w:val="00A67386"/>
    <w:rsid w:val="00A76402"/>
    <w:rsid w:val="00A8010F"/>
    <w:rsid w:val="00A84DCE"/>
    <w:rsid w:val="00AB4FB9"/>
    <w:rsid w:val="00AD0732"/>
    <w:rsid w:val="00AD2DEB"/>
    <w:rsid w:val="00AD3376"/>
    <w:rsid w:val="00AD3AEA"/>
    <w:rsid w:val="00AD4808"/>
    <w:rsid w:val="00AE14C3"/>
    <w:rsid w:val="00AF37AE"/>
    <w:rsid w:val="00AF5A85"/>
    <w:rsid w:val="00AF771B"/>
    <w:rsid w:val="00B21F20"/>
    <w:rsid w:val="00B237EF"/>
    <w:rsid w:val="00B2699A"/>
    <w:rsid w:val="00B342FD"/>
    <w:rsid w:val="00B46141"/>
    <w:rsid w:val="00B51B9C"/>
    <w:rsid w:val="00B62152"/>
    <w:rsid w:val="00BB3537"/>
    <w:rsid w:val="00BC54B1"/>
    <w:rsid w:val="00BD3283"/>
    <w:rsid w:val="00BD79E7"/>
    <w:rsid w:val="00C0172D"/>
    <w:rsid w:val="00C306B0"/>
    <w:rsid w:val="00C3626B"/>
    <w:rsid w:val="00C4157C"/>
    <w:rsid w:val="00C74055"/>
    <w:rsid w:val="00CA3A4B"/>
    <w:rsid w:val="00CB20D7"/>
    <w:rsid w:val="00CB2DF6"/>
    <w:rsid w:val="00CD78E7"/>
    <w:rsid w:val="00CF11BB"/>
    <w:rsid w:val="00D11B38"/>
    <w:rsid w:val="00D20A2B"/>
    <w:rsid w:val="00D22416"/>
    <w:rsid w:val="00D36958"/>
    <w:rsid w:val="00D417A5"/>
    <w:rsid w:val="00D44084"/>
    <w:rsid w:val="00D53938"/>
    <w:rsid w:val="00D64B78"/>
    <w:rsid w:val="00D82996"/>
    <w:rsid w:val="00D83EF0"/>
    <w:rsid w:val="00D84F84"/>
    <w:rsid w:val="00D86CB0"/>
    <w:rsid w:val="00DB0788"/>
    <w:rsid w:val="00DB21C4"/>
    <w:rsid w:val="00DC356A"/>
    <w:rsid w:val="00DD4C64"/>
    <w:rsid w:val="00DD63F2"/>
    <w:rsid w:val="00DE2661"/>
    <w:rsid w:val="00DE2713"/>
    <w:rsid w:val="00E01491"/>
    <w:rsid w:val="00E059E9"/>
    <w:rsid w:val="00E06F81"/>
    <w:rsid w:val="00E103B4"/>
    <w:rsid w:val="00E21DC1"/>
    <w:rsid w:val="00E21E48"/>
    <w:rsid w:val="00E2384B"/>
    <w:rsid w:val="00E3768F"/>
    <w:rsid w:val="00E407A4"/>
    <w:rsid w:val="00E43F95"/>
    <w:rsid w:val="00E56469"/>
    <w:rsid w:val="00E56644"/>
    <w:rsid w:val="00E932CF"/>
    <w:rsid w:val="00E93782"/>
    <w:rsid w:val="00E9436E"/>
    <w:rsid w:val="00EB24F4"/>
    <w:rsid w:val="00EB3A9A"/>
    <w:rsid w:val="00EB70A4"/>
    <w:rsid w:val="00ED5210"/>
    <w:rsid w:val="00EF16AB"/>
    <w:rsid w:val="00EF67CB"/>
    <w:rsid w:val="00F11923"/>
    <w:rsid w:val="00F128EB"/>
    <w:rsid w:val="00F17AA9"/>
    <w:rsid w:val="00F234B0"/>
    <w:rsid w:val="00F26C6B"/>
    <w:rsid w:val="00F30C14"/>
    <w:rsid w:val="00F4445D"/>
    <w:rsid w:val="00F4579E"/>
    <w:rsid w:val="00F65357"/>
    <w:rsid w:val="00F67A4C"/>
    <w:rsid w:val="00F73780"/>
    <w:rsid w:val="00F90936"/>
    <w:rsid w:val="00FA0FA5"/>
    <w:rsid w:val="00FB3D9C"/>
    <w:rsid w:val="00FC28A3"/>
    <w:rsid w:val="00FC4610"/>
    <w:rsid w:val="00FE10FE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6D5D55A"/>
  <w15:chartTrackingRefBased/>
  <w15:docId w15:val="{8BC4A7A2-ED77-4361-A540-760F6CCB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pacing w:line="240" w:lineRule="exact"/>
      <w:jc w:val="both"/>
    </w:pPr>
    <w:rPr>
      <w:rFonts w:ascii="Courier New" w:hAnsi="Courier New"/>
      <w:snapToGrid w:val="0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5670"/>
      </w:tabs>
      <w:ind w:right="-2"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</w:tabs>
      <w:outlineLvl w:val="2"/>
    </w:pPr>
    <w:rPr>
      <w:b/>
      <w:u w:val="single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Voetnootmarkering">
    <w:name w:val="footnote reference"/>
    <w:semiHidden/>
  </w:style>
  <w:style w:type="paragraph" w:styleId="Plattetekst2">
    <w:name w:val="Body Text 2"/>
    <w:basedOn w:val="Standaard"/>
    <w:pPr>
      <w:widowControl/>
      <w:tabs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1"/>
        <w:tab w:val="left" w:pos="5670"/>
        <w:tab w:val="left" w:pos="6235"/>
        <w:tab w:val="left" w:pos="6802"/>
        <w:tab w:val="left" w:pos="7369"/>
        <w:tab w:val="left" w:pos="7936"/>
        <w:tab w:val="left" w:pos="8503"/>
        <w:tab w:val="right" w:pos="9071"/>
      </w:tabs>
      <w:ind w:right="2267"/>
    </w:pPr>
    <w:rPr>
      <w:snapToGrid/>
      <w:lang w:val="nl-NL"/>
    </w:rPr>
  </w:style>
  <w:style w:type="paragraph" w:styleId="Plattetekst">
    <w:name w:val="Body Text"/>
    <w:basedOn w:val="Standaard"/>
    <w:pPr>
      <w:widowControl/>
      <w:spacing w:line="240" w:lineRule="auto"/>
    </w:pPr>
    <w:rPr>
      <w:rFonts w:ascii="CG Times (W1)" w:hAnsi="CG Times (W1)"/>
      <w:snapToGrid/>
      <w:sz w:val="20"/>
      <w:lang w:val="nl-NL"/>
    </w:rPr>
  </w:style>
  <w:style w:type="paragraph" w:styleId="Plattetekst3">
    <w:name w:val="Body Text 3"/>
    <w:basedOn w:val="Standaard"/>
    <w:pPr>
      <w:ind w:right="55"/>
      <w:outlineLvl w:val="0"/>
    </w:pPr>
    <w:rPr>
      <w:rFonts w:ascii="Arial" w:hAnsi="Arial"/>
      <w:noProof/>
      <w:sz w:val="18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340118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5025A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rickxleys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ierickxleys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67D2-03DC-42E9-B34D-E586EC1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</vt:lpstr>
      <vt:lpstr>MS</vt:lpstr>
    </vt:vector>
  </TitlesOfParts>
  <Company>Not Deckers &amp; De Graeve</Company>
  <LinksUpToDate>false</LinksUpToDate>
  <CharactersWithSpaces>5625</CharactersWithSpaces>
  <SharedDoc>false</SharedDoc>
  <HLinks>
    <vt:vector size="6" baseType="variant"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http://www.dierickxleys.be/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Not Deckers &amp; De Graeve</dc:creator>
  <cp:keywords/>
  <cp:lastModifiedBy>Werner Wuyts</cp:lastModifiedBy>
  <cp:revision>4</cp:revision>
  <cp:lastPrinted>2020-06-12T15:55:00Z</cp:lastPrinted>
  <dcterms:created xsi:type="dcterms:W3CDTF">2020-12-16T12:58:00Z</dcterms:created>
  <dcterms:modified xsi:type="dcterms:W3CDTF">2020-12-16T13:15:00Z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71bf9-7cad-4b0f-bec4-29f2fdafb5c1_Enabled">
    <vt:lpwstr>True</vt:lpwstr>
  </property>
  <property fmtid="{D5CDD505-2E9C-101B-9397-08002B2CF9AE}" pid="3" name="MSIP_Label_b7b71bf9-7cad-4b0f-bec4-29f2fdafb5c1_SiteId">
    <vt:lpwstr>ef04a14f-58e5-4e87-8182-4f285a778630</vt:lpwstr>
  </property>
  <property fmtid="{D5CDD505-2E9C-101B-9397-08002B2CF9AE}" pid="4" name="MSIP_Label_b7b71bf9-7cad-4b0f-bec4-29f2fdafb5c1_Owner">
    <vt:lpwstr>chris.bruynseels@cadelam.be</vt:lpwstr>
  </property>
  <property fmtid="{D5CDD505-2E9C-101B-9397-08002B2CF9AE}" pid="5" name="MSIP_Label_b7b71bf9-7cad-4b0f-bec4-29f2fdafb5c1_SetDate">
    <vt:lpwstr>2020-02-19T14:31:44.1774746Z</vt:lpwstr>
  </property>
  <property fmtid="{D5CDD505-2E9C-101B-9397-08002B2CF9AE}" pid="6" name="MSIP_Label_b7b71bf9-7cad-4b0f-bec4-29f2fdafb5c1_Name">
    <vt:lpwstr>Public</vt:lpwstr>
  </property>
  <property fmtid="{D5CDD505-2E9C-101B-9397-08002B2CF9AE}" pid="7" name="MSIP_Label_b7b71bf9-7cad-4b0f-bec4-29f2fdafb5c1_Application">
    <vt:lpwstr>Microsoft Azure Information Protection</vt:lpwstr>
  </property>
  <property fmtid="{D5CDD505-2E9C-101B-9397-08002B2CF9AE}" pid="8" name="MSIP_Label_b7b71bf9-7cad-4b0f-bec4-29f2fdafb5c1_ActionId">
    <vt:lpwstr>8ea83701-9311-4328-aea7-700d6553ea1e</vt:lpwstr>
  </property>
  <property fmtid="{D5CDD505-2E9C-101B-9397-08002B2CF9AE}" pid="9" name="MSIP_Label_b7b71bf9-7cad-4b0f-bec4-29f2fdafb5c1_Extended_MSFT_Method">
    <vt:lpwstr>Automatic</vt:lpwstr>
  </property>
  <property fmtid="{D5CDD505-2E9C-101B-9397-08002B2CF9AE}" pid="10" name="Sensitivity">
    <vt:lpwstr>Public</vt:lpwstr>
  </property>
</Properties>
</file>