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43DA" w14:paraId="4776DF03" w14:textId="77777777" w:rsidTr="005E43DA">
        <w:tc>
          <w:tcPr>
            <w:tcW w:w="9016" w:type="dxa"/>
          </w:tcPr>
          <w:p w14:paraId="24FBC4CC" w14:textId="77777777" w:rsidR="005E43DA" w:rsidRPr="005E43DA" w:rsidRDefault="005E43DA" w:rsidP="005E43DA">
            <w:pPr>
              <w:jc w:val="center"/>
              <w:rPr>
                <w:b/>
                <w:bCs/>
              </w:rPr>
              <w:bidi w:val="0"/>
            </w:pPr>
            <w:r>
              <w:rPr>
                <w:lang w:val="fr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Sicav DIERICKX LEYS FUND II SA</w:t>
            </w:r>
          </w:p>
          <w:p w14:paraId="48BE32E3" w14:textId="77777777" w:rsidR="005E43DA" w:rsidRDefault="005E43DA" w:rsidP="005E43DA">
            <w:pPr>
              <w:jc w:val="center"/>
              <w:bidi w:val="0"/>
            </w:pPr>
            <w:r>
              <w:rPr>
                <w:lang w:val="fr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Kasteelpleinstraat 44 – 2000 Anvers</w:t>
            </w:r>
          </w:p>
          <w:p w14:paraId="2A7E39A9" w14:textId="1AA6337E" w:rsidR="005E43DA" w:rsidRDefault="005E43DA" w:rsidP="005E43DA">
            <w:pPr>
              <w:jc w:val="center"/>
              <w:bidi w:val="0"/>
            </w:pPr>
            <w:r>
              <w:rPr>
                <w:lang w:val="fr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Numéro d’entreprise: 0893.204.308</w:t>
            </w:r>
          </w:p>
        </w:tc>
      </w:tr>
    </w:tbl>
    <w:p w14:paraId="497CA140" w14:textId="77777777" w:rsidR="00DC6060" w:rsidRDefault="00DC6060" w:rsidP="005E43DA">
      <w:pPr>
        <w:jc w:val="center"/>
      </w:pPr>
    </w:p>
    <w:p w14:paraId="50ADDAF6" w14:textId="77777777" w:rsidR="005E43DA" w:rsidRPr="005E43DA" w:rsidRDefault="005E43DA" w:rsidP="005E43DA">
      <w:pPr>
        <w:spacing w:after="0"/>
        <w:jc w:val="center"/>
        <w:rPr>
          <w:b/>
          <w:bCs/>
        </w:rPr>
        <w:bidi w:val="0"/>
      </w:pPr>
      <w:r>
        <w:rPr>
          <w:lang w:val="fr-be"/>
          <w:b w:val="1"/>
          <w:bCs w:val="1"/>
          <w:i w:val="0"/>
          <w:iCs w:val="0"/>
          <w:u w:val="none"/>
          <w:vertAlign w:val="baseline"/>
          <w:rtl w:val="0"/>
        </w:rPr>
        <w:t xml:space="preserve">ATTESTATION DU DIVIDENDE VERSÉ 16/04/2024</w:t>
      </w:r>
    </w:p>
    <w:p w14:paraId="31D5CA83" w14:textId="38B5E995" w:rsidR="005E43DA" w:rsidRDefault="005E43DA" w:rsidP="005E43DA">
      <w:pPr>
        <w:spacing w:after="0"/>
        <w:jc w:val="center"/>
        <w:rPr>
          <w:b/>
          <w:bCs/>
          <w:u w:val="single"/>
        </w:rPr>
        <w:bidi w:val="0"/>
      </w:pPr>
      <w:r>
        <w:rPr>
          <w:lang w:val="fr-be"/>
          <w:b w:val="1"/>
          <w:bCs w:val="1"/>
          <w:i w:val="0"/>
          <w:iCs w:val="0"/>
          <w:u w:val="single"/>
          <w:vertAlign w:val="baseline"/>
          <w:rtl w:val="0"/>
        </w:rPr>
        <w:t xml:space="preserve">destinée aux investisseurs soumis à l’impôt des sociétés</w:t>
      </w:r>
    </w:p>
    <w:p w14:paraId="21A4DB9F" w14:textId="77777777" w:rsidR="005E43DA" w:rsidRDefault="005E43DA" w:rsidP="005E43DA">
      <w:pPr>
        <w:spacing w:after="0"/>
        <w:jc w:val="center"/>
        <w:rPr>
          <w:b/>
          <w:bCs/>
          <w:u w:val="single"/>
        </w:rPr>
      </w:pPr>
    </w:p>
    <w:p w14:paraId="428E8E0B" w14:textId="5FF364C6" w:rsidR="005E43DA" w:rsidRDefault="005E43DA" w:rsidP="005E43DA">
      <w:pPr>
        <w:spacing w:after="0"/>
        <w:jc w:val="both"/>
        <w:bidi w:val="0"/>
      </w:pP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 xml:space="preserve">La sicav DIERICKX LEYS FUND II confirme par la présente que le compartiment DIERICKX LEYS FUND II DBI classe B a rempli, au cours de l’année de revenus 2023, les conditions pour être qualifiée de société d’investissement RDT au sens de l’article 203, §2, deuxième alinéa du CIR.</w:t>
      </w:r>
    </w:p>
    <w:p w14:paraId="713EB313" w14:textId="77777777" w:rsidR="005E43DA" w:rsidRDefault="005E43DA" w:rsidP="005E43DA">
      <w:pPr>
        <w:spacing w:after="0"/>
        <w:jc w:val="both"/>
      </w:pPr>
    </w:p>
    <w:p w14:paraId="3CC8CB6B" w14:textId="4731823B" w:rsidR="005E43DA" w:rsidRDefault="005E43DA" w:rsidP="005E43DA">
      <w:pPr>
        <w:spacing w:after="0"/>
        <w:jc w:val="both"/>
        <w:bidi w:val="0"/>
      </w:pP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 xml:space="preserve">Par conséquent, le dividende relatif à l’année de revenus 2023 versé par la sicav le 16 avril 2024 est éligible à la déduction RDT telle que définie à l’article 202 du CIR. Cette déduction RDT s’applique si et dans la mesure où les revenus de la société d’investissement elle-même sont de « bons » revenus (c’est-à-dire des revenus de dividendes répondant aux conditions de déductibilité de l’article 203, §1, 1° à 4° du CIR et des plus-values sur actions bénéficiant d’une exonération fiscale en vertu de l’article 192, §1 du CIR).</w:t>
      </w:r>
    </w:p>
    <w:p w14:paraId="1B56EB42" w14:textId="77777777" w:rsidR="005E43DA" w:rsidRDefault="005E43DA" w:rsidP="005E43DA">
      <w:pPr>
        <w:spacing w:after="0"/>
        <w:jc w:val="both"/>
      </w:pPr>
    </w:p>
    <w:p w14:paraId="6DCDD6EB" w14:textId="60DB3942" w:rsidR="005E43DA" w:rsidRDefault="005E43DA" w:rsidP="005E43DA">
      <w:pPr>
        <w:spacing w:after="0"/>
        <w:jc w:val="both"/>
        <w:bidi w:val="0"/>
      </w:pP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 xml:space="preserve">Pour l’année de revenus 2023, 100% des revenus de la sicav sont constitués de ces « bons » revenus. Le dividende versé le 16 avril 2024 est donc éligible à 100% à l’exonération de l’impôt des sociétés des sociétés actionnaires.</w:t>
      </w:r>
    </w:p>
    <w:p w14:paraId="433239BD" w14:textId="77777777" w:rsidR="005E43DA" w:rsidRDefault="005E43DA" w:rsidP="005E43DA">
      <w:pPr>
        <w:spacing w:after="0"/>
        <w:jc w:val="both"/>
      </w:pPr>
    </w:p>
    <w:p w14:paraId="729F62FD" w14:textId="1C51D04D" w:rsidR="005E43DA" w:rsidRDefault="005E43DA" w:rsidP="005E43DA">
      <w:pPr>
        <w:spacing w:after="0"/>
        <w:jc w:val="both"/>
        <w:bidi w:val="0"/>
      </w:pP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 xml:space="preserve">Administrateur</w:t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 xml:space="preserve">Administrateur</w:t>
      </w:r>
    </w:p>
    <w:p w14:paraId="604A94FD" w14:textId="77777777" w:rsidR="005E43DA" w:rsidRDefault="005E43DA" w:rsidP="005E43DA">
      <w:pPr>
        <w:spacing w:after="0"/>
        <w:jc w:val="both"/>
      </w:pPr>
    </w:p>
    <w:p w14:paraId="1E2A6239" w14:textId="2DCF5A34" w:rsidR="005E43DA" w:rsidRPr="005E43DA" w:rsidRDefault="005E43DA" w:rsidP="005E43DA">
      <w:pPr>
        <w:spacing w:after="0"/>
        <w:jc w:val="both"/>
        <w:bidi w:val="0"/>
      </w:pP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 xml:space="preserve">Werner Wuyts</w:t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be"/>
          <w:b w:val="0"/>
          <w:bCs w:val="0"/>
          <w:i w:val="0"/>
          <w:iCs w:val="0"/>
          <w:u w:val="none"/>
          <w:vertAlign w:val="baseline"/>
          <w:rtl w:val="0"/>
        </w:rPr>
        <w:t xml:space="preserve">Sven Sterckx</w:t>
      </w:r>
    </w:p>
    <w:sectPr w:rsidR="005E43DA" w:rsidRPr="005E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D9"/>
    <w:rsid w:val="00421CD9"/>
    <w:rsid w:val="005E43DA"/>
    <w:rsid w:val="00D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10E0D"/>
  <w15:chartTrackingRefBased/>
  <w15:docId w15:val="{6C41D3EE-E93A-4985-93A3-79EBA9E1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C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C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C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C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C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C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C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C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C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C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C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C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C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C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C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C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C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C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C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C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C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C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C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C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C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C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C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CD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E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Heylighen</dc:creator>
  <cp:keywords/>
  <dc:description/>
  <cp:lastModifiedBy>Caroline Heylighen</cp:lastModifiedBy>
  <cp:revision>2</cp:revision>
  <dcterms:created xsi:type="dcterms:W3CDTF">2024-05-06T10:24:00Z</dcterms:created>
  <dcterms:modified xsi:type="dcterms:W3CDTF">2024-05-06T10:28:00Z</dcterms:modified>
</cp:coreProperties>
</file>